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8D04" w14:textId="5B8FFDA7" w:rsidR="00F6649B" w:rsidRDefault="00F6649B" w:rsidP="009D15E4">
      <w:pPr>
        <w:pStyle w:val="Heading1"/>
      </w:pPr>
      <w:r>
        <w:t>Workshop WND Conferentie 2022</w:t>
      </w:r>
      <w:r w:rsidR="009D15E4">
        <w:br/>
      </w:r>
      <w:r>
        <w:t>Beeldvorming in de klas, is dat een goed idee?</w:t>
      </w:r>
    </w:p>
    <w:p w14:paraId="73C8115C" w14:textId="77777777" w:rsidR="009D15E4" w:rsidRPr="009D15E4" w:rsidRDefault="009D15E4" w:rsidP="009D15E4"/>
    <w:p w14:paraId="30FA8CDC" w14:textId="7E4AA0DF" w:rsidR="00EF7E78" w:rsidRDefault="00F6649B">
      <w:r>
        <w:rPr>
          <w:noProof/>
        </w:rPr>
        <w:drawing>
          <wp:inline distT="0" distB="0" distL="0" distR="0" wp14:anchorId="7C4356FB" wp14:editId="6DA56CC5">
            <wp:extent cx="5760881" cy="6096000"/>
            <wp:effectExtent l="0" t="0" r="11430" b="0"/>
            <wp:docPr id="1" name="Chart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2ED1E2" w14:textId="77777777" w:rsidR="00F6649B" w:rsidRDefault="00F6649B"/>
    <w:p w14:paraId="28F08D75" w14:textId="77777777" w:rsidR="00F6649B" w:rsidRDefault="00F6649B"/>
    <w:p w14:paraId="5E2D83CF" w14:textId="729736C9" w:rsidR="009D15E4" w:rsidRDefault="009D15E4">
      <w:pPr>
        <w:sectPr w:rsidR="009D15E4">
          <w:footerReference w:type="default" r:id="rId10"/>
          <w:pgSz w:w="11906" w:h="16838"/>
          <w:pgMar w:top="1417" w:right="1417" w:bottom="1417" w:left="1417" w:header="708" w:footer="708" w:gutter="0"/>
          <w:cols w:space="708"/>
          <w:docGrid w:linePitch="360"/>
        </w:sectPr>
      </w:pPr>
    </w:p>
    <w:tbl>
      <w:tblPr>
        <w:tblStyle w:val="GridTable2-Accent3"/>
        <w:tblW w:w="15168" w:type="dxa"/>
        <w:tblInd w:w="-567" w:type="dxa"/>
        <w:tblLook w:val="04A0" w:firstRow="1" w:lastRow="0" w:firstColumn="1" w:lastColumn="0" w:noHBand="0" w:noVBand="1"/>
      </w:tblPr>
      <w:tblGrid>
        <w:gridCol w:w="2263"/>
        <w:gridCol w:w="7620"/>
        <w:gridCol w:w="5285"/>
      </w:tblGrid>
      <w:tr w:rsidR="009D15E4" w:rsidRPr="00F6649B" w14:paraId="01455570" w14:textId="77777777" w:rsidTr="00F6649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36" w:type="dxa"/>
            <w:hideMark/>
          </w:tcPr>
          <w:p w14:paraId="1E3C1099" w14:textId="77777777" w:rsidR="00F6649B" w:rsidRPr="00F6649B" w:rsidRDefault="00F6649B">
            <w:r w:rsidRPr="00F6649B">
              <w:lastRenderedPageBreak/>
              <w:t>Samengevat</w:t>
            </w:r>
          </w:p>
        </w:tc>
        <w:tc>
          <w:tcPr>
            <w:tcW w:w="7636" w:type="dxa"/>
            <w:hideMark/>
          </w:tcPr>
          <w:p w14:paraId="01558D4F" w14:textId="77777777" w:rsidR="00F6649B" w:rsidRPr="00F6649B" w:rsidRDefault="00F6649B">
            <w:pPr>
              <w:cnfStyle w:val="100000000000" w:firstRow="1" w:lastRow="0" w:firstColumn="0" w:lastColumn="0" w:oddVBand="0" w:evenVBand="0" w:oddHBand="0" w:evenHBand="0" w:firstRowFirstColumn="0" w:firstRowLastColumn="0" w:lastRowFirstColumn="0" w:lastRowLastColumn="0"/>
            </w:pPr>
            <w:r w:rsidRPr="00F6649B">
              <w:t>Toelichting</w:t>
            </w:r>
          </w:p>
        </w:tc>
        <w:tc>
          <w:tcPr>
            <w:tcW w:w="5296" w:type="dxa"/>
            <w:hideMark/>
          </w:tcPr>
          <w:p w14:paraId="4A1ACD5D" w14:textId="77777777" w:rsidR="00F6649B" w:rsidRPr="00F6649B" w:rsidRDefault="00F6649B">
            <w:pPr>
              <w:cnfStyle w:val="100000000000" w:firstRow="1" w:lastRow="0" w:firstColumn="0" w:lastColumn="0" w:oddVBand="0" w:evenVBand="0" w:oddHBand="0" w:evenHBand="0" w:firstRowFirstColumn="0" w:firstRowLastColumn="0" w:lastRowFirstColumn="0" w:lastRowLastColumn="0"/>
            </w:pPr>
            <w:r w:rsidRPr="00F6649B">
              <w:t>Illustratie</w:t>
            </w:r>
          </w:p>
        </w:tc>
      </w:tr>
      <w:tr w:rsidR="009D15E4" w:rsidRPr="00F6649B" w14:paraId="25B4F841" w14:textId="77777777" w:rsidTr="00F6649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236" w:type="dxa"/>
            <w:hideMark/>
          </w:tcPr>
          <w:p w14:paraId="5BEB50CC" w14:textId="77777777" w:rsidR="00F6649B" w:rsidRPr="00F6649B" w:rsidRDefault="00F6649B">
            <w:r w:rsidRPr="00F6649B">
              <w:t>Actiegericht (met transformatie van de maatschappij als doel)</w:t>
            </w:r>
          </w:p>
        </w:tc>
        <w:tc>
          <w:tcPr>
            <w:tcW w:w="7636" w:type="dxa"/>
            <w:hideMark/>
          </w:tcPr>
          <w:p w14:paraId="6D879B44" w14:textId="117AE4DF"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Een actiegerichte docent wil leerlingen in staat stellen om de huidige maatschappij te veranderen. De huidige maatschappij functioneert niet naar behoren, bijvoorbeeld omdat er onvoldoende wordt gedaan om het klimaatprobleem tegen te gaan, te veel verdeling van arm en rijk is en dit in stand gehouden wordt, consumeren te</w:t>
            </w:r>
            <w:r>
              <w:t xml:space="preserve"> </w:t>
            </w:r>
            <w:r w:rsidRPr="00F6649B">
              <w:t>veel wordt verheerlijkt, maar dit kan ook om hele andere thema's gaan. In staat stellen betekent leerlingen leren hoe ze in actie kunnen komen en hoe ze impact kunnen hebben.</w:t>
            </w:r>
          </w:p>
        </w:tc>
        <w:tc>
          <w:tcPr>
            <w:tcW w:w="5296" w:type="dxa"/>
            <w:hideMark/>
          </w:tcPr>
          <w:p w14:paraId="065C805C" w14:textId="77777777"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"In plaats van dat we leerlingen opleiden om in dienst van een bedrijf kennis en producten te genereren, moeten we leerlingen voorbereiden om te werken aan een eerlijke maatschappij."</w:t>
            </w:r>
          </w:p>
        </w:tc>
      </w:tr>
      <w:tr w:rsidR="00F6649B" w:rsidRPr="00F6649B" w14:paraId="3FA32798" w14:textId="77777777" w:rsidTr="00F6649B">
        <w:trPr>
          <w:trHeight w:val="864"/>
        </w:trPr>
        <w:tc>
          <w:tcPr>
            <w:cnfStyle w:val="001000000000" w:firstRow="0" w:lastRow="0" w:firstColumn="1" w:lastColumn="0" w:oddVBand="0" w:evenVBand="0" w:oddHBand="0" w:evenHBand="0" w:firstRowFirstColumn="0" w:firstRowLastColumn="0" w:lastRowFirstColumn="0" w:lastRowLastColumn="0"/>
            <w:tcW w:w="2236" w:type="dxa"/>
            <w:hideMark/>
          </w:tcPr>
          <w:p w14:paraId="2AA49D3F" w14:textId="77777777" w:rsidR="00F6649B" w:rsidRPr="00F6649B" w:rsidRDefault="00F6649B">
            <w:r w:rsidRPr="00F6649B">
              <w:t>Politiek neutrale houding van de docent</w:t>
            </w:r>
          </w:p>
        </w:tc>
        <w:tc>
          <w:tcPr>
            <w:tcW w:w="7636" w:type="dxa"/>
            <w:hideMark/>
          </w:tcPr>
          <w:p w14:paraId="0831463E" w14:textId="5690F103" w:rsidR="00F6649B" w:rsidRPr="00F6649B" w:rsidRDefault="00F6649B">
            <w:pPr>
              <w:cnfStyle w:val="000000000000" w:firstRow="0" w:lastRow="0" w:firstColumn="0" w:lastColumn="0" w:oddVBand="0" w:evenVBand="0" w:oddHBand="0" w:evenHBand="0" w:firstRowFirstColumn="0" w:firstRowLastColumn="0" w:lastRowFirstColumn="0" w:lastRowLastColumn="0"/>
            </w:pPr>
            <w:r w:rsidRPr="00F6649B">
              <w:t>Een politiek neutrale docent kiest ervoor om haar of zijn politieke voorkeur buiten het klaslokaal te houden, omdat de docent deze keuze van de leerlingen niet wil beïnvloeden. Het is aan de leerlingen om zelf tot een politiek oordeel te komen.</w:t>
            </w:r>
          </w:p>
        </w:tc>
        <w:tc>
          <w:tcPr>
            <w:tcW w:w="5296" w:type="dxa"/>
            <w:hideMark/>
          </w:tcPr>
          <w:p w14:paraId="65606F85" w14:textId="77777777" w:rsidR="00F6649B" w:rsidRPr="00F6649B" w:rsidRDefault="00F6649B">
            <w:pPr>
              <w:cnfStyle w:val="000000000000" w:firstRow="0" w:lastRow="0" w:firstColumn="0" w:lastColumn="0" w:oddVBand="0" w:evenVBand="0" w:oddHBand="0" w:evenHBand="0" w:firstRowFirstColumn="0" w:firstRowLastColumn="0" w:lastRowFirstColumn="0" w:lastRowLastColumn="0"/>
            </w:pPr>
            <w:r w:rsidRPr="00F6649B">
              <w:t>"Mijn leerlingen hoeven niet te weten hoe ik stem. Ik help ze met begrijpen hoe de wereld werkt. Ze moeten zelf keuzes maken."</w:t>
            </w:r>
          </w:p>
        </w:tc>
      </w:tr>
      <w:tr w:rsidR="009D15E4" w:rsidRPr="00F6649B" w14:paraId="39B9197B" w14:textId="77777777" w:rsidTr="00F6649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2236" w:type="dxa"/>
            <w:hideMark/>
          </w:tcPr>
          <w:p w14:paraId="7132C9BB" w14:textId="77777777" w:rsidR="00F6649B" w:rsidRPr="00F6649B" w:rsidRDefault="00F6649B">
            <w:r w:rsidRPr="00F6649B">
              <w:t>Vakoverstijgende vaardigheden ten behoeve van duurzame ontwikkeling</w:t>
            </w:r>
          </w:p>
        </w:tc>
        <w:tc>
          <w:tcPr>
            <w:tcW w:w="7636" w:type="dxa"/>
            <w:hideMark/>
          </w:tcPr>
          <w:p w14:paraId="44721121" w14:textId="50852ADA"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Duurzaamheidsvraagstukken zijn vaak complex en kunnen dus ook niet opgelost worden vanuit het perspectief van een enkel vak. Leerlingen moeten leren kijken vanuit verschillende expertises en leren hoe ze dit overkoepelende perspectief in kunnen zetten. Het gaat dan om vaardigheden zoals onderzoek doen, vraagstukken vanuit meerdere perspectieven benaderen, complexiteit van het gehele systeem in kaart brengen, et cetera. Hier moet ruimte voor zijn op school!</w:t>
            </w:r>
          </w:p>
        </w:tc>
        <w:tc>
          <w:tcPr>
            <w:tcW w:w="5296" w:type="dxa"/>
            <w:hideMark/>
          </w:tcPr>
          <w:p w14:paraId="6708051D" w14:textId="77777777"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 xml:space="preserve">"Er is steeds meer behoefte aan mensen die ingewikkelde vraagstukken kunnen oplossen. Dat moeten wij ze leren, en dat is misschien wel belangrijker dan dat ze heel goed worden in mijn </w:t>
            </w:r>
            <w:proofErr w:type="spellStart"/>
            <w:r w:rsidRPr="00F6649B">
              <w:t>monovak</w:t>
            </w:r>
            <w:proofErr w:type="spellEnd"/>
            <w:r w:rsidRPr="00F6649B">
              <w:t>."</w:t>
            </w:r>
          </w:p>
        </w:tc>
      </w:tr>
      <w:tr w:rsidR="00F6649B" w:rsidRPr="00F6649B" w14:paraId="7013DDED" w14:textId="77777777" w:rsidTr="00F6649B">
        <w:trPr>
          <w:trHeight w:val="1152"/>
        </w:trPr>
        <w:tc>
          <w:tcPr>
            <w:cnfStyle w:val="001000000000" w:firstRow="0" w:lastRow="0" w:firstColumn="1" w:lastColumn="0" w:oddVBand="0" w:evenVBand="0" w:oddHBand="0" w:evenHBand="0" w:firstRowFirstColumn="0" w:firstRowLastColumn="0" w:lastRowFirstColumn="0" w:lastRowLastColumn="0"/>
            <w:tcW w:w="2236" w:type="dxa"/>
            <w:hideMark/>
          </w:tcPr>
          <w:p w14:paraId="0D134566" w14:textId="77777777" w:rsidR="00F6649B" w:rsidRPr="00F6649B" w:rsidRDefault="00F6649B">
            <w:r w:rsidRPr="00F6649B">
              <w:t>Bewustwording en ontwikkeling van eigen waarden en emoties</w:t>
            </w:r>
          </w:p>
        </w:tc>
        <w:tc>
          <w:tcPr>
            <w:tcW w:w="7636" w:type="dxa"/>
            <w:hideMark/>
          </w:tcPr>
          <w:p w14:paraId="375A18FF" w14:textId="77777777" w:rsidR="00F6649B" w:rsidRPr="00F6649B" w:rsidRDefault="00F6649B">
            <w:pPr>
              <w:cnfStyle w:val="000000000000" w:firstRow="0" w:lastRow="0" w:firstColumn="0" w:lastColumn="0" w:oddVBand="0" w:evenVBand="0" w:oddHBand="0" w:evenHBand="0" w:firstRowFirstColumn="0" w:firstRowLastColumn="0" w:lastRowFirstColumn="0" w:lastRowLastColumn="0"/>
            </w:pPr>
            <w:r w:rsidRPr="00F6649B">
              <w:t>Duurzaamheidsvraagstukken roepen emoties op, zoals boosheid, wanhoop of gelatenheid. Om constructief met deze emoties om te kunnen gaan moeten leerlingen leren erkennen hoe ze zich voelen en ontdekken waar ze voor staan en voor op willen komen.</w:t>
            </w:r>
          </w:p>
        </w:tc>
        <w:tc>
          <w:tcPr>
            <w:tcW w:w="5296" w:type="dxa"/>
            <w:hideMark/>
          </w:tcPr>
          <w:p w14:paraId="167DB84B" w14:textId="77777777" w:rsidR="00F6649B" w:rsidRPr="00F6649B" w:rsidRDefault="00F6649B">
            <w:pPr>
              <w:cnfStyle w:val="000000000000" w:firstRow="0" w:lastRow="0" w:firstColumn="0" w:lastColumn="0" w:oddVBand="0" w:evenVBand="0" w:oddHBand="0" w:evenHBand="0" w:firstRowFirstColumn="0" w:firstRowLastColumn="0" w:lastRowFirstColumn="0" w:lastRowLastColumn="0"/>
            </w:pPr>
            <w:r w:rsidRPr="00F6649B">
              <w:t>"Deze generatie heeft het zwaar. Volgens mij begint een oplossing bij dat leerlingen ontdekken hoe ze zich kunnen inzetten voor hun idealen en dat ze daar niet alleen voor staan."</w:t>
            </w:r>
          </w:p>
        </w:tc>
      </w:tr>
      <w:tr w:rsidR="009D15E4" w:rsidRPr="00F6649B" w14:paraId="23F21C0D" w14:textId="77777777" w:rsidTr="00F6649B">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236" w:type="dxa"/>
            <w:hideMark/>
          </w:tcPr>
          <w:p w14:paraId="4535AE48" w14:textId="77777777" w:rsidR="00F6649B" w:rsidRPr="00F6649B" w:rsidRDefault="00F6649B">
            <w:r w:rsidRPr="00F6649B">
              <w:t>Nadruk in het curriculum op: Fundamentele Wetenschap</w:t>
            </w:r>
          </w:p>
        </w:tc>
        <w:tc>
          <w:tcPr>
            <w:tcW w:w="7636" w:type="dxa"/>
            <w:hideMark/>
          </w:tcPr>
          <w:p w14:paraId="376BCA43" w14:textId="278F7B27"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In de curriculum</w:t>
            </w:r>
            <w:r>
              <w:t>nadruk</w:t>
            </w:r>
            <w:r w:rsidRPr="00F6649B">
              <w:t xml:space="preserve"> fundamentele wetenschap wordt de natuurwetenschappelijke theorie eerst behandeld, omdat men de overtuiging heeft dat deze kennis een basis vormt om de wereld te begrijpen en dat deze nodig is voor de verdere opleiding die een leerling gaat volgen.</w:t>
            </w:r>
          </w:p>
        </w:tc>
        <w:tc>
          <w:tcPr>
            <w:tcW w:w="5296" w:type="dxa"/>
            <w:hideMark/>
          </w:tcPr>
          <w:p w14:paraId="3D3B3878" w14:textId="1C567F41"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"Je moet eerst leren hoe een elektromagneet werkt voor je een windmolen kan verbeteren."</w:t>
            </w:r>
          </w:p>
        </w:tc>
      </w:tr>
      <w:tr w:rsidR="00F6649B" w:rsidRPr="00F6649B" w14:paraId="34EFE1B7" w14:textId="77777777" w:rsidTr="00F6649B">
        <w:trPr>
          <w:trHeight w:val="864"/>
        </w:trPr>
        <w:tc>
          <w:tcPr>
            <w:cnfStyle w:val="001000000000" w:firstRow="0" w:lastRow="0" w:firstColumn="1" w:lastColumn="0" w:oddVBand="0" w:evenVBand="0" w:oddHBand="0" w:evenHBand="0" w:firstRowFirstColumn="0" w:firstRowLastColumn="0" w:lastRowFirstColumn="0" w:lastRowLastColumn="0"/>
            <w:tcW w:w="2236" w:type="dxa"/>
            <w:hideMark/>
          </w:tcPr>
          <w:p w14:paraId="1A2AEB01" w14:textId="77777777" w:rsidR="00F6649B" w:rsidRPr="00F6649B" w:rsidRDefault="00F6649B">
            <w:r w:rsidRPr="00F6649B">
              <w:t>Nadruk in het curriculum op: Kennisontwikkeling in de Wetenschap</w:t>
            </w:r>
          </w:p>
        </w:tc>
        <w:tc>
          <w:tcPr>
            <w:tcW w:w="7636" w:type="dxa"/>
            <w:hideMark/>
          </w:tcPr>
          <w:p w14:paraId="7B863564" w14:textId="2FD3753B" w:rsidR="00F6649B" w:rsidRPr="00F6649B" w:rsidRDefault="00F6649B">
            <w:pPr>
              <w:cnfStyle w:val="000000000000" w:firstRow="0" w:lastRow="0" w:firstColumn="0" w:lastColumn="0" w:oddVBand="0" w:evenVBand="0" w:oddHBand="0" w:evenHBand="0" w:firstRowFirstColumn="0" w:firstRowLastColumn="0" w:lastRowFirstColumn="0" w:lastRowLastColumn="0"/>
            </w:pPr>
            <w:r w:rsidRPr="00F6649B">
              <w:t>Leerlingen moeten leren hoe de kennis in de natuurwetenschappen zich ontwikkeld heeft in de sociaalhistorische context, zodat zij leren dat de natuurwetenschap een cultureel bepaald kennissysteem is dat zich continu ontwikkelt.</w:t>
            </w:r>
          </w:p>
        </w:tc>
        <w:tc>
          <w:tcPr>
            <w:tcW w:w="5296" w:type="dxa"/>
            <w:hideMark/>
          </w:tcPr>
          <w:p w14:paraId="66BB27B9" w14:textId="77777777" w:rsidR="00F6649B" w:rsidRPr="00F6649B" w:rsidRDefault="00F6649B">
            <w:pPr>
              <w:cnfStyle w:val="000000000000" w:firstRow="0" w:lastRow="0" w:firstColumn="0" w:lastColumn="0" w:oddVBand="0" w:evenVBand="0" w:oddHBand="0" w:evenHBand="0" w:firstRowFirstColumn="0" w:firstRowLastColumn="0" w:lastRowFirstColumn="0" w:lastRowLastColumn="0"/>
            </w:pPr>
            <w:r w:rsidRPr="00F6649B">
              <w:t xml:space="preserve">"Het helpt om te weten hoe </w:t>
            </w:r>
            <w:proofErr w:type="spellStart"/>
            <w:r w:rsidRPr="00F6649B">
              <w:t>Arrhenius</w:t>
            </w:r>
            <w:proofErr w:type="spellEnd"/>
            <w:r w:rsidRPr="00F6649B">
              <w:t xml:space="preserve"> op het idee kwam dat er een verband was tussen CO2 en temperatuur, om klimaatwetenschap te begrijpen."</w:t>
            </w:r>
          </w:p>
        </w:tc>
      </w:tr>
      <w:tr w:rsidR="009D15E4" w:rsidRPr="00F6649B" w14:paraId="08189E16" w14:textId="77777777" w:rsidTr="00F6649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236" w:type="dxa"/>
            <w:hideMark/>
          </w:tcPr>
          <w:p w14:paraId="71B2E678" w14:textId="77777777" w:rsidR="00F6649B" w:rsidRPr="00F6649B" w:rsidRDefault="00F6649B">
            <w:r w:rsidRPr="00F6649B">
              <w:t>Nadruk in het curriculum op: Wetenschap, Technologie en Maatschappij</w:t>
            </w:r>
          </w:p>
        </w:tc>
        <w:tc>
          <w:tcPr>
            <w:tcW w:w="7636" w:type="dxa"/>
            <w:hideMark/>
          </w:tcPr>
          <w:p w14:paraId="77408440" w14:textId="5BE80FF8"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 xml:space="preserve">Leerlingen moeten in staat zijn om te communiceren en </w:t>
            </w:r>
            <w:r>
              <w:t xml:space="preserve">beslissen </w:t>
            </w:r>
            <w:r w:rsidRPr="00F6649B">
              <w:t>over onderwerpen uit de samenleving die natuurwetenschappelijke aspecten kennen.</w:t>
            </w:r>
          </w:p>
        </w:tc>
        <w:tc>
          <w:tcPr>
            <w:tcW w:w="5296" w:type="dxa"/>
            <w:hideMark/>
          </w:tcPr>
          <w:p w14:paraId="011E726E" w14:textId="77777777" w:rsidR="00F6649B" w:rsidRPr="00F6649B" w:rsidRDefault="00F6649B">
            <w:pPr>
              <w:cnfStyle w:val="000000100000" w:firstRow="0" w:lastRow="0" w:firstColumn="0" w:lastColumn="0" w:oddVBand="0" w:evenVBand="0" w:oddHBand="1" w:evenHBand="0" w:firstRowFirstColumn="0" w:firstRowLastColumn="0" w:lastRowFirstColumn="0" w:lastRowLastColumn="0"/>
            </w:pPr>
            <w:r w:rsidRPr="00F6649B">
              <w:t>"Om mee te kunnen beslissen in het stikstofdebat moeten weten welke invloed overbemesting heeft op ecosystemen."</w:t>
            </w:r>
          </w:p>
        </w:tc>
      </w:tr>
    </w:tbl>
    <w:p w14:paraId="692DF513" w14:textId="77777777" w:rsidR="00F6649B" w:rsidRDefault="00F6649B"/>
    <w:sectPr w:rsidR="00F6649B" w:rsidSect="00F6649B">
      <w:footerReference w:type="default" r:id="rId11"/>
      <w:pgSz w:w="16838" w:h="11906" w:orient="landscape"/>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209B" w14:textId="77777777" w:rsidR="009D15E4" w:rsidRDefault="009D15E4" w:rsidP="009D15E4">
      <w:pPr>
        <w:spacing w:after="0" w:line="240" w:lineRule="auto"/>
      </w:pPr>
      <w:r>
        <w:separator/>
      </w:r>
    </w:p>
  </w:endnote>
  <w:endnote w:type="continuationSeparator" w:id="0">
    <w:p w14:paraId="543FA840" w14:textId="77777777" w:rsidR="009D15E4" w:rsidRDefault="009D15E4" w:rsidP="009D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2C76" w14:textId="6D5F5CB1" w:rsidR="009D15E4" w:rsidRDefault="009D15E4" w:rsidP="009D15E4">
    <w:r>
      <w:rPr>
        <w:noProof/>
      </w:rPr>
      <w:drawing>
        <wp:anchor distT="0" distB="0" distL="114300" distR="114300" simplePos="0" relativeHeight="251659264" behindDoc="0" locked="0" layoutInCell="1" allowOverlap="1" wp14:anchorId="4940643B" wp14:editId="0ED3B116">
          <wp:simplePos x="0" y="0"/>
          <wp:positionH relativeFrom="column">
            <wp:posOffset>4457065</wp:posOffset>
          </wp:positionH>
          <wp:positionV relativeFrom="paragraph">
            <wp:posOffset>-130810</wp:posOffset>
          </wp:positionV>
          <wp:extent cx="1675130" cy="569682"/>
          <wp:effectExtent l="0" t="0" r="1270" b="1905"/>
          <wp:wrapNone/>
          <wp:docPr id="3" name="Picture 3" descr="Logo - Corporate Identity - Utrech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 Corporate Identity - Utrecht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96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C6485C3" wp14:editId="7824D89A">
          <wp:simplePos x="0" y="0"/>
          <wp:positionH relativeFrom="column">
            <wp:posOffset>2605405</wp:posOffset>
          </wp:positionH>
          <wp:positionV relativeFrom="paragraph">
            <wp:posOffset>-279400</wp:posOffset>
          </wp:positionV>
          <wp:extent cx="1607820" cy="755650"/>
          <wp:effectExtent l="0" t="0" r="0" b="635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782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5E4">
      <w:t>Peter.Duifhuis@hu.nl</w:t>
    </w:r>
    <w:r>
      <w:t xml:space="preserve"> </w:t>
    </w:r>
    <w:r>
      <w:br/>
    </w:r>
    <w:r w:rsidRPr="009D15E4">
      <w:t>Stijn.Folkerts@hu.nl</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0315" w14:textId="718BF756" w:rsidR="009D15E4" w:rsidRDefault="009D15E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72A2" w14:textId="77777777" w:rsidR="009D15E4" w:rsidRDefault="009D15E4" w:rsidP="009D15E4">
      <w:pPr>
        <w:spacing w:after="0" w:line="240" w:lineRule="auto"/>
      </w:pPr>
      <w:r>
        <w:separator/>
      </w:r>
    </w:p>
  </w:footnote>
  <w:footnote w:type="continuationSeparator" w:id="0">
    <w:p w14:paraId="772F69A5" w14:textId="77777777" w:rsidR="009D15E4" w:rsidRDefault="009D15E4" w:rsidP="009D15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9B"/>
    <w:rsid w:val="004E32EA"/>
    <w:rsid w:val="009D15E4"/>
    <w:rsid w:val="00D409A2"/>
    <w:rsid w:val="00EF7E78"/>
    <w:rsid w:val="00F6649B"/>
    <w:rsid w:val="00FD0C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479B4"/>
  <w15:chartTrackingRefBased/>
  <w15:docId w15:val="{CC87BA43-8FF7-400B-9B6B-6700D757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5E4"/>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Heading2">
    <w:name w:val="heading 2"/>
    <w:basedOn w:val="Normal"/>
    <w:next w:val="Normal"/>
    <w:link w:val="Heading2Char"/>
    <w:uiPriority w:val="9"/>
    <w:unhideWhenUsed/>
    <w:qFormat/>
    <w:rsid w:val="00F6649B"/>
    <w:pPr>
      <w:keepNext/>
      <w:keepLines/>
      <w:spacing w:before="40" w:after="0"/>
      <w:outlineLvl w:val="1"/>
    </w:pPr>
    <w:rPr>
      <w:rFonts w:asciiTheme="majorHAnsi" w:eastAsiaTheme="majorEastAsia" w:hAnsiTheme="majorHAnsi" w:cstheme="majorBidi"/>
      <w:color w:val="AA610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6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F6649B"/>
    <w:pPr>
      <w:spacing w:after="0" w:line="240" w:lineRule="auto"/>
    </w:pPr>
    <w:tblPr>
      <w:tblStyleRowBandSize w:val="1"/>
      <w:tblStyleColBandSize w:val="1"/>
      <w:tblBorders>
        <w:top w:val="single" w:sz="2" w:space="0" w:color="C29480" w:themeColor="accent3" w:themeTint="99"/>
        <w:bottom w:val="single" w:sz="2" w:space="0" w:color="C29480" w:themeColor="accent3" w:themeTint="99"/>
        <w:insideH w:val="single" w:sz="2" w:space="0" w:color="C29480" w:themeColor="accent3" w:themeTint="99"/>
        <w:insideV w:val="single" w:sz="2" w:space="0" w:color="C29480" w:themeColor="accent3" w:themeTint="99"/>
      </w:tblBorders>
    </w:tblPr>
    <w:tblStylePr w:type="firstRow">
      <w:rPr>
        <w:b/>
        <w:bCs/>
      </w:rPr>
      <w:tblPr/>
      <w:tcPr>
        <w:tcBorders>
          <w:top w:val="nil"/>
          <w:bottom w:val="single" w:sz="12" w:space="0" w:color="C29480" w:themeColor="accent3" w:themeTint="99"/>
          <w:insideH w:val="nil"/>
          <w:insideV w:val="nil"/>
        </w:tcBorders>
        <w:shd w:val="clear" w:color="auto" w:fill="FFFFFF" w:themeFill="background1"/>
      </w:tcPr>
    </w:tblStylePr>
    <w:tblStylePr w:type="lastRow">
      <w:rPr>
        <w:b/>
        <w:bCs/>
      </w:rPr>
      <w:tblPr/>
      <w:tcPr>
        <w:tcBorders>
          <w:top w:val="double" w:sz="2" w:space="0" w:color="C2948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BD4" w:themeFill="accent3" w:themeFillTint="33"/>
      </w:tcPr>
    </w:tblStylePr>
    <w:tblStylePr w:type="band1Horz">
      <w:tblPr/>
      <w:tcPr>
        <w:shd w:val="clear" w:color="auto" w:fill="EADBD4" w:themeFill="accent3" w:themeFillTint="33"/>
      </w:tcPr>
    </w:tblStylePr>
  </w:style>
  <w:style w:type="paragraph" w:styleId="Title">
    <w:name w:val="Title"/>
    <w:basedOn w:val="Normal"/>
    <w:next w:val="Normal"/>
    <w:link w:val="TitleChar"/>
    <w:uiPriority w:val="10"/>
    <w:qFormat/>
    <w:rsid w:val="00F664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49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6649B"/>
    <w:rPr>
      <w:rFonts w:asciiTheme="majorHAnsi" w:eastAsiaTheme="majorEastAsia" w:hAnsiTheme="majorHAnsi" w:cstheme="majorBidi"/>
      <w:color w:val="AA610D" w:themeColor="accent1" w:themeShade="BF"/>
      <w:sz w:val="26"/>
      <w:szCs w:val="26"/>
    </w:rPr>
  </w:style>
  <w:style w:type="paragraph" w:styleId="Header">
    <w:name w:val="header"/>
    <w:basedOn w:val="Normal"/>
    <w:link w:val="HeaderChar"/>
    <w:uiPriority w:val="99"/>
    <w:unhideWhenUsed/>
    <w:rsid w:val="009D15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15E4"/>
  </w:style>
  <w:style w:type="paragraph" w:styleId="Footer">
    <w:name w:val="footer"/>
    <w:basedOn w:val="Normal"/>
    <w:link w:val="FooterChar"/>
    <w:uiPriority w:val="99"/>
    <w:unhideWhenUsed/>
    <w:rsid w:val="009D15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15E4"/>
  </w:style>
  <w:style w:type="character" w:styleId="Hyperlink">
    <w:name w:val="Hyperlink"/>
    <w:basedOn w:val="DefaultParagraphFont"/>
    <w:uiPriority w:val="99"/>
    <w:unhideWhenUsed/>
    <w:rsid w:val="009D15E4"/>
    <w:rPr>
      <w:color w:val="2998E3" w:themeColor="hyperlink"/>
      <w:u w:val="single"/>
    </w:rPr>
  </w:style>
  <w:style w:type="character" w:styleId="UnresolvedMention">
    <w:name w:val="Unresolved Mention"/>
    <w:basedOn w:val="DefaultParagraphFont"/>
    <w:uiPriority w:val="99"/>
    <w:semiHidden/>
    <w:unhideWhenUsed/>
    <w:rsid w:val="009D15E4"/>
    <w:rPr>
      <w:color w:val="605E5C"/>
      <w:shd w:val="clear" w:color="auto" w:fill="E1DFDD"/>
    </w:rPr>
  </w:style>
  <w:style w:type="character" w:customStyle="1" w:styleId="Heading1Char">
    <w:name w:val="Heading 1 Char"/>
    <w:basedOn w:val="DefaultParagraphFont"/>
    <w:link w:val="Heading1"/>
    <w:uiPriority w:val="9"/>
    <w:rsid w:val="009D15E4"/>
    <w:rPr>
      <w:rFonts w:asciiTheme="majorHAnsi" w:eastAsiaTheme="majorEastAsia" w:hAnsiTheme="majorHAnsi" w:cstheme="majorBidi"/>
      <w:color w:val="AA610D"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913">
      <w:bodyDiv w:val="1"/>
      <w:marLeft w:val="0"/>
      <w:marRight w:val="0"/>
      <w:marTop w:val="0"/>
      <w:marBottom w:val="0"/>
      <w:divBdr>
        <w:top w:val="none" w:sz="0" w:space="0" w:color="auto"/>
        <w:left w:val="none" w:sz="0" w:space="0" w:color="auto"/>
        <w:bottom w:val="none" w:sz="0" w:space="0" w:color="auto"/>
        <w:right w:val="none" w:sz="0" w:space="0" w:color="auto"/>
      </w:divBdr>
    </w:div>
    <w:div w:id="1100831414">
      <w:bodyDiv w:val="1"/>
      <w:marLeft w:val="0"/>
      <w:marRight w:val="0"/>
      <w:marTop w:val="0"/>
      <w:marBottom w:val="0"/>
      <w:divBdr>
        <w:top w:val="none" w:sz="0" w:space="0" w:color="auto"/>
        <w:left w:val="none" w:sz="0" w:space="0" w:color="auto"/>
        <w:bottom w:val="none" w:sz="0" w:space="0" w:color="auto"/>
        <w:right w:val="none" w:sz="0" w:space="0" w:color="auto"/>
      </w:divBdr>
    </w:div>
    <w:div w:id="1499228864">
      <w:bodyDiv w:val="1"/>
      <w:marLeft w:val="0"/>
      <w:marRight w:val="0"/>
      <w:marTop w:val="0"/>
      <w:marBottom w:val="0"/>
      <w:divBdr>
        <w:top w:val="none" w:sz="0" w:space="0" w:color="auto"/>
        <w:left w:val="none" w:sz="0" w:space="0" w:color="auto"/>
        <w:bottom w:val="none" w:sz="0" w:space="0" w:color="auto"/>
        <w:right w:val="none" w:sz="0" w:space="0" w:color="auto"/>
      </w:divBdr>
    </w:div>
    <w:div w:id="184786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hogeschoolutrecht-my.sharepoint.com/personal/peter_duifhuis_hu_nl/Documents/Promotie/Visieontwikkeling/Visieprofiel%20Bewerkbare%20Versi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Visieprofiel</a:t>
            </a:r>
          </a:p>
          <a:p>
            <a:pPr>
              <a:defRPr/>
            </a:pPr>
            <a:r>
              <a:rPr lang="nl-NL"/>
              <a:t>van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radarChart>
        <c:radarStyle val="marker"/>
        <c:varyColors val="0"/>
        <c:ser>
          <c:idx val="0"/>
          <c:order val="0"/>
          <c:spPr>
            <a:ln w="28575" cap="rnd">
              <a:solidFill>
                <a:schemeClr val="accent1"/>
              </a:solidFill>
              <a:round/>
            </a:ln>
            <a:effectLst/>
          </c:spPr>
          <c:marker>
            <c:symbol val="none"/>
          </c:marker>
          <c:cat>
            <c:strRef>
              <c:f>Vragenlijst!$L$23:$R$23</c:f>
              <c:strCache>
                <c:ptCount val="7"/>
                <c:pt idx="0">
                  <c:v>Actiegericht (met transformatie van de maatschappij als doel)</c:v>
                </c:pt>
                <c:pt idx="1">
                  <c:v>Politiek neutrale houding van de docent</c:v>
                </c:pt>
                <c:pt idx="2">
                  <c:v>Vakoverstijgende vaardigheden ten behoeve van duurzame ontwikkeling</c:v>
                </c:pt>
                <c:pt idx="3">
                  <c:v>Bewustwording en ontwikkeling van eigen waarden en emoties</c:v>
                </c:pt>
                <c:pt idx="4">
                  <c:v>Nadruk in het curriculum op: Fundamentele Wetenschap</c:v>
                </c:pt>
                <c:pt idx="5">
                  <c:v>Nadruk in het curriculum op: Kennisontwikkeling in de Wetenschap</c:v>
                </c:pt>
                <c:pt idx="6">
                  <c:v>Nadruk in het curriculum op: Wetenschap, Technologie en Maatschappij</c:v>
                </c:pt>
              </c:strCache>
            </c:strRef>
          </c:cat>
          <c:val>
            <c:numRef>
              <c:f>Vragenlijst!$L$25:$R$25</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2A55-43D0-AD18-38A265BFE520}"/>
            </c:ext>
          </c:extLst>
        </c:ser>
        <c:dLbls>
          <c:showLegendKey val="0"/>
          <c:showVal val="0"/>
          <c:showCatName val="0"/>
          <c:showSerName val="0"/>
          <c:showPercent val="0"/>
          <c:showBubbleSize val="0"/>
        </c:dLbls>
        <c:axId val="482344208"/>
        <c:axId val="482341584"/>
      </c:radarChart>
      <c:catAx>
        <c:axId val="48234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crossAx val="482341584"/>
        <c:crosses val="autoZero"/>
        <c:auto val="1"/>
        <c:lblAlgn val="ctr"/>
        <c:lblOffset val="100"/>
        <c:noMultiLvlLbl val="0"/>
      </c:catAx>
      <c:valAx>
        <c:axId val="482341584"/>
        <c:scaling>
          <c:orientation val="minMax"/>
          <c:max val="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8234420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FD5604397914AACE3C456C6441E6A" ma:contentTypeVersion="15" ma:contentTypeDescription="Een nieuw document maken." ma:contentTypeScope="" ma:versionID="07520a90b9ad3c9a61ac1442c7eafa20">
  <xsd:schema xmlns:xsd="http://www.w3.org/2001/XMLSchema" xmlns:xs="http://www.w3.org/2001/XMLSchema" xmlns:p="http://schemas.microsoft.com/office/2006/metadata/properties" xmlns:ns2="d50a453b-e1cc-464c-b3ae-ca1c3a767e93" xmlns:ns3="1431cbcc-1a21-4334-8ab1-c178e36597d2" targetNamespace="http://schemas.microsoft.com/office/2006/metadata/properties" ma:root="true" ma:fieldsID="0af425aa5445fa61bf16e26449b91b28" ns2:_="" ns3:_="">
    <xsd:import namespace="d50a453b-e1cc-464c-b3ae-ca1c3a767e93"/>
    <xsd:import namespace="1431cbcc-1a21-4334-8ab1-c178e36597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a453b-e1cc-464c-b3ae-ca1c3a767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1cbcc-1a21-4334-8ab1-c178e36597d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b4a946d-80e0-4f71-895a-82e6d06e2fab}" ma:internalName="TaxCatchAll" ma:showField="CatchAllData" ma:web="1431cbcc-1a21-4334-8ab1-c178e3659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31cbcc-1a21-4334-8ab1-c178e36597d2" xsi:nil="true"/>
    <lcf76f155ced4ddcb4097134ff3c332f xmlns="d50a453b-e1cc-464c-b3ae-ca1c3a767e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74DAE-BE50-4F1C-BFA3-15CE08D2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a453b-e1cc-464c-b3ae-ca1c3a767e93"/>
    <ds:schemaRef ds:uri="1431cbcc-1a21-4334-8ab1-c178e3659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CB6B70-8376-44D4-B1FC-9B261CD5F908}">
  <ds:schemaRefs>
    <ds:schemaRef ds:uri="http://schemas.microsoft.com/office/2006/metadata/properties"/>
    <ds:schemaRef ds:uri="http://schemas.microsoft.com/office/infopath/2007/PartnerControls"/>
    <ds:schemaRef ds:uri="1431cbcc-1a21-4334-8ab1-c178e36597d2"/>
    <ds:schemaRef ds:uri="d50a453b-e1cc-464c-b3ae-ca1c3a767e93"/>
  </ds:schemaRefs>
</ds:datastoreItem>
</file>

<file path=customXml/itemProps3.xml><?xml version="1.0" encoding="utf-8"?>
<ds:datastoreItem xmlns:ds="http://schemas.openxmlformats.org/officeDocument/2006/customXml" ds:itemID="{E6D63771-9B6F-4CFA-B3ED-249F03922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563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Duifhuis</dc:creator>
  <cp:keywords/>
  <dc:description/>
  <cp:lastModifiedBy>Peter Duifhuis</cp:lastModifiedBy>
  <cp:revision>2</cp:revision>
  <dcterms:created xsi:type="dcterms:W3CDTF">2022-12-12T15:04:00Z</dcterms:created>
  <dcterms:modified xsi:type="dcterms:W3CDTF">2023-01-10T15:03:00Z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0x010100FB6FD5604397914AACE3C456C6441E6A</vt:lpwstr>
  </property>
  <property fmtid="{D5CDD505-2E9C-101B-9397-08002B2CF9AE}" pid="3" name="MediaServiceImageTags">
    <vt:lpwstr/>
  </property>
</Properties>
</file>